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raster"/>
        <w:tblW w:w="0" w:type="auto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6997"/>
        <w:gridCol w:w="2779"/>
      </w:tblGrid>
      <w:tr w:rsidR="00292049" w:rsidRPr="00292049" w14:paraId="0173AC92" w14:textId="77777777" w:rsidTr="002056B7">
        <w:tc>
          <w:tcPr>
            <w:tcW w:w="9776" w:type="dxa"/>
            <w:gridSpan w:val="2"/>
            <w:shd w:val="clear" w:color="auto" w:fill="auto"/>
          </w:tcPr>
          <w:p w14:paraId="3B0D1F39" w14:textId="348691DE" w:rsidR="00BE2BF6" w:rsidRPr="00292049" w:rsidRDefault="00BE2BF6">
            <w:pPr>
              <w:rPr>
                <w:b/>
                <w:bCs/>
              </w:rPr>
            </w:pPr>
            <w:r w:rsidRPr="00292049">
              <w:rPr>
                <w:b/>
                <w:bCs/>
              </w:rPr>
              <w:t>Fiche d’évaluation</w:t>
            </w:r>
          </w:p>
        </w:tc>
      </w:tr>
      <w:tr w:rsidR="00292049" w:rsidRPr="00292049" w14:paraId="3DB1EA62" w14:textId="77777777" w:rsidTr="002056B7">
        <w:tc>
          <w:tcPr>
            <w:tcW w:w="6997" w:type="dxa"/>
            <w:shd w:val="clear" w:color="auto" w:fill="auto"/>
          </w:tcPr>
          <w:p w14:paraId="4DB00EDE" w14:textId="6D8DAEF0" w:rsidR="00BE2BF6" w:rsidRPr="00292049" w:rsidRDefault="00BE2BF6">
            <w:pPr>
              <w:rPr>
                <w:b/>
                <w:bCs/>
              </w:rPr>
            </w:pPr>
            <w:r w:rsidRPr="00292049">
              <w:rPr>
                <w:b/>
                <w:bCs/>
              </w:rPr>
              <w:t>Comédie classique, VWO6</w:t>
            </w:r>
          </w:p>
        </w:tc>
        <w:tc>
          <w:tcPr>
            <w:tcW w:w="2779" w:type="dxa"/>
            <w:shd w:val="clear" w:color="auto" w:fill="auto"/>
          </w:tcPr>
          <w:p w14:paraId="76372C78" w14:textId="3DF8E854" w:rsidR="00BE2BF6" w:rsidRPr="00292049" w:rsidRDefault="00BE2BF6">
            <w:pPr>
              <w:rPr>
                <w:b/>
                <w:bCs/>
              </w:rPr>
            </w:pPr>
            <w:r w:rsidRPr="00292049">
              <w:rPr>
                <w:b/>
                <w:bCs/>
              </w:rPr>
              <w:t>Tâche créative</w:t>
            </w:r>
          </w:p>
        </w:tc>
      </w:tr>
    </w:tbl>
    <w:p w14:paraId="10C7EACD" w14:textId="7106A427" w:rsidR="00321EE6" w:rsidRDefault="002056B7">
      <w:r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4CD87CFC" wp14:editId="5E9F0E4E">
            <wp:simplePos x="0" y="0"/>
            <wp:positionH relativeFrom="margin">
              <wp:posOffset>7738110</wp:posOffset>
            </wp:positionH>
            <wp:positionV relativeFrom="paragraph">
              <wp:posOffset>-734060</wp:posOffset>
            </wp:positionV>
            <wp:extent cx="1310640" cy="1310640"/>
            <wp:effectExtent l="0" t="0" r="3810" b="3810"/>
            <wp:wrapNone/>
            <wp:docPr id="387703330" name="Afbeelding 1" descr="Afbeelding met tekening, schets, clipart, illustrati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7703330" name="Afbeelding 1" descr="Afbeelding met tekening, schets, clipart, illustratie&#10;&#10;Automatisch gegenereerde beschrijvi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0640" cy="1310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5B624F9" w14:textId="0E7B7D1B" w:rsidR="00D371FD" w:rsidRDefault="00D371FD"/>
    <w:p w14:paraId="70E2D880" w14:textId="3F2E5F31" w:rsidR="00D371FD" w:rsidRPr="00D371FD" w:rsidRDefault="00BE2BF6">
      <w:pPr>
        <w:rPr>
          <w:b/>
          <w:bCs/>
        </w:rPr>
      </w:pPr>
      <w:r w:rsidRPr="00D371FD">
        <w:rPr>
          <w:b/>
          <w:bCs/>
        </w:rPr>
        <w:t xml:space="preserve">Demande préalable : </w:t>
      </w:r>
    </w:p>
    <w:p w14:paraId="2294B6BC" w14:textId="0594A196" w:rsidR="00D371FD" w:rsidRDefault="00D371FD" w:rsidP="00D371FD">
      <w:pPr>
        <w:pStyle w:val="Lijstalinea"/>
        <w:numPr>
          <w:ilvl w:val="0"/>
          <w:numId w:val="1"/>
        </w:numPr>
      </w:pPr>
      <w:r>
        <w:t>L</w:t>
      </w:r>
      <w:r w:rsidR="00BE2BF6">
        <w:t>a tâche est complète et a été soumis avant la date limite</w:t>
      </w:r>
      <w:r w:rsidR="00974717">
        <w:t xml:space="preserve"> et selon les demandes pour rendre le document. </w:t>
      </w:r>
    </w:p>
    <w:p w14:paraId="483DE412" w14:textId="17B6137D" w:rsidR="00D371FD" w:rsidRDefault="00D371FD" w:rsidP="00D371FD">
      <w:pPr>
        <w:pStyle w:val="Lijstalinea"/>
        <w:numPr>
          <w:ilvl w:val="0"/>
          <w:numId w:val="1"/>
        </w:numPr>
      </w:pPr>
      <w:r>
        <w:t xml:space="preserve">Toutes les catégories sont évaluées ‘suffisant’ pour avoir une note suffisant.  </w:t>
      </w:r>
    </w:p>
    <w:p w14:paraId="2203D57C" w14:textId="77777777" w:rsidR="00D371FD" w:rsidRDefault="00D371FD" w:rsidP="00D371FD"/>
    <w:p w14:paraId="1AD0891A" w14:textId="4A0A6079" w:rsidR="00BE2BF6" w:rsidRDefault="00BE2BF6"/>
    <w:tbl>
      <w:tblPr>
        <w:tblStyle w:val="Tabelraster"/>
        <w:tblW w:w="14035" w:type="dxa"/>
        <w:tblLook w:val="04A0" w:firstRow="1" w:lastRow="0" w:firstColumn="1" w:lastColumn="0" w:noHBand="0" w:noVBand="1"/>
      </w:tblPr>
      <w:tblGrid>
        <w:gridCol w:w="2379"/>
        <w:gridCol w:w="4096"/>
        <w:gridCol w:w="3780"/>
        <w:gridCol w:w="3780"/>
      </w:tblGrid>
      <w:tr w:rsidR="00BE2BF6" w:rsidRPr="002C16D9" w14:paraId="7E9B3B96" w14:textId="77777777" w:rsidTr="00BE2BF6">
        <w:tc>
          <w:tcPr>
            <w:tcW w:w="2379" w:type="dxa"/>
          </w:tcPr>
          <w:p w14:paraId="0458F661" w14:textId="75B3AE70" w:rsidR="00BE2BF6" w:rsidRPr="002C16D9" w:rsidRDefault="00BE2BF6">
            <w:pPr>
              <w:rPr>
                <w:sz w:val="20"/>
                <w:szCs w:val="20"/>
              </w:rPr>
            </w:pPr>
          </w:p>
        </w:tc>
        <w:tc>
          <w:tcPr>
            <w:tcW w:w="4096" w:type="dxa"/>
          </w:tcPr>
          <w:p w14:paraId="63F095B1" w14:textId="0C7B265A" w:rsidR="00BE2BF6" w:rsidRPr="002C16D9" w:rsidRDefault="00BE2BF6">
            <w:pPr>
              <w:rPr>
                <w:b/>
                <w:bCs/>
                <w:sz w:val="20"/>
                <w:szCs w:val="20"/>
              </w:rPr>
            </w:pPr>
            <w:r w:rsidRPr="002C16D9">
              <w:rPr>
                <w:b/>
                <w:bCs/>
                <w:sz w:val="20"/>
                <w:szCs w:val="20"/>
              </w:rPr>
              <w:t>Insuffisant</w:t>
            </w:r>
          </w:p>
        </w:tc>
        <w:tc>
          <w:tcPr>
            <w:tcW w:w="3780" w:type="dxa"/>
          </w:tcPr>
          <w:p w14:paraId="1FAB98D2" w14:textId="39B9F6BB" w:rsidR="00BE2BF6" w:rsidRPr="002C16D9" w:rsidRDefault="00BE2BF6">
            <w:pPr>
              <w:rPr>
                <w:b/>
                <w:bCs/>
                <w:sz w:val="20"/>
                <w:szCs w:val="20"/>
              </w:rPr>
            </w:pPr>
            <w:r w:rsidRPr="002C16D9">
              <w:rPr>
                <w:b/>
                <w:bCs/>
                <w:sz w:val="20"/>
                <w:szCs w:val="20"/>
              </w:rPr>
              <w:t>Suffisant</w:t>
            </w:r>
          </w:p>
        </w:tc>
        <w:tc>
          <w:tcPr>
            <w:tcW w:w="3780" w:type="dxa"/>
          </w:tcPr>
          <w:p w14:paraId="15126AE3" w14:textId="46F43A86" w:rsidR="00BE2BF6" w:rsidRPr="002C16D9" w:rsidRDefault="00BE2BF6">
            <w:pPr>
              <w:rPr>
                <w:b/>
                <w:bCs/>
                <w:sz w:val="20"/>
                <w:szCs w:val="20"/>
              </w:rPr>
            </w:pPr>
            <w:r w:rsidRPr="002C16D9">
              <w:rPr>
                <w:b/>
                <w:bCs/>
                <w:sz w:val="20"/>
                <w:szCs w:val="20"/>
              </w:rPr>
              <w:t>Plus que suffisant</w:t>
            </w:r>
          </w:p>
        </w:tc>
      </w:tr>
      <w:tr w:rsidR="00BE2BF6" w:rsidRPr="002C16D9" w14:paraId="2ECF77D2" w14:textId="77777777" w:rsidTr="00BE2BF6">
        <w:tc>
          <w:tcPr>
            <w:tcW w:w="2379" w:type="dxa"/>
          </w:tcPr>
          <w:p w14:paraId="620D042D" w14:textId="3511BBEA" w:rsidR="00BE2BF6" w:rsidRPr="002C16D9" w:rsidRDefault="00BE2BF6">
            <w:pPr>
              <w:rPr>
                <w:b/>
                <w:bCs/>
                <w:sz w:val="20"/>
                <w:szCs w:val="20"/>
              </w:rPr>
            </w:pPr>
            <w:r w:rsidRPr="002C16D9">
              <w:rPr>
                <w:b/>
                <w:bCs/>
                <w:sz w:val="20"/>
                <w:szCs w:val="20"/>
              </w:rPr>
              <w:t>Compréhension</w:t>
            </w:r>
          </w:p>
        </w:tc>
        <w:tc>
          <w:tcPr>
            <w:tcW w:w="4096" w:type="dxa"/>
          </w:tcPr>
          <w:p w14:paraId="2866297C" w14:textId="1DCAA5A1" w:rsidR="00BE2BF6" w:rsidRPr="002C16D9" w:rsidRDefault="00D371FD">
            <w:pPr>
              <w:rPr>
                <w:sz w:val="20"/>
                <w:szCs w:val="20"/>
                <w:lang w:val="nl-NL"/>
              </w:rPr>
            </w:pPr>
            <w:r w:rsidRPr="002C16D9">
              <w:rPr>
                <w:sz w:val="20"/>
                <w:szCs w:val="20"/>
                <w:lang w:val="nl-NL"/>
              </w:rPr>
              <w:t xml:space="preserve">Uit het product wordt niet duidelijk dat de boodschap van het stuk is begrepen / dat het stuk is gelezen. </w:t>
            </w:r>
          </w:p>
        </w:tc>
        <w:tc>
          <w:tcPr>
            <w:tcW w:w="3780" w:type="dxa"/>
          </w:tcPr>
          <w:p w14:paraId="72524C8A" w14:textId="5654D309" w:rsidR="00BE2BF6" w:rsidRPr="002C16D9" w:rsidRDefault="00F32EC3">
            <w:pPr>
              <w:rPr>
                <w:sz w:val="20"/>
                <w:szCs w:val="20"/>
                <w:lang w:val="nl-NL"/>
              </w:rPr>
            </w:pPr>
            <w:r w:rsidRPr="002C16D9">
              <w:rPr>
                <w:sz w:val="20"/>
                <w:szCs w:val="20"/>
                <w:lang w:val="nl-NL"/>
              </w:rPr>
              <w:t xml:space="preserve">Uit het product wordt duidelijk dat de boodschap van het stuk is begrepen. </w:t>
            </w:r>
          </w:p>
        </w:tc>
        <w:tc>
          <w:tcPr>
            <w:tcW w:w="3780" w:type="dxa"/>
          </w:tcPr>
          <w:p w14:paraId="5A4F49CF" w14:textId="382E3186" w:rsidR="00BE2BF6" w:rsidRPr="002C16D9" w:rsidRDefault="00F32EC3">
            <w:pPr>
              <w:rPr>
                <w:sz w:val="20"/>
                <w:szCs w:val="20"/>
                <w:lang w:val="nl-NL"/>
              </w:rPr>
            </w:pPr>
            <w:r w:rsidRPr="002C16D9">
              <w:rPr>
                <w:sz w:val="20"/>
                <w:szCs w:val="20"/>
                <w:lang w:val="nl-NL"/>
              </w:rPr>
              <w:t xml:space="preserve">Uit het product wordt duidelijk dat de boodschap is begrepen. Daarnaast wordt besproken wat deze boodschap voor de leerling betekent in de eigen ontwikkeling of actualiteit. </w:t>
            </w:r>
          </w:p>
        </w:tc>
      </w:tr>
      <w:tr w:rsidR="00BE2BF6" w:rsidRPr="002C16D9" w14:paraId="3313E990" w14:textId="77777777" w:rsidTr="00BE2BF6">
        <w:tc>
          <w:tcPr>
            <w:tcW w:w="2379" w:type="dxa"/>
          </w:tcPr>
          <w:p w14:paraId="68348329" w14:textId="49F8133D" w:rsidR="00BE2BF6" w:rsidRPr="002C16D9" w:rsidRDefault="00BE2BF6">
            <w:pPr>
              <w:rPr>
                <w:b/>
                <w:bCs/>
                <w:sz w:val="20"/>
                <w:szCs w:val="20"/>
              </w:rPr>
            </w:pPr>
            <w:r w:rsidRPr="002C16D9">
              <w:rPr>
                <w:b/>
                <w:bCs/>
                <w:sz w:val="20"/>
                <w:szCs w:val="20"/>
              </w:rPr>
              <w:t>Littérature</w:t>
            </w:r>
          </w:p>
        </w:tc>
        <w:tc>
          <w:tcPr>
            <w:tcW w:w="4096" w:type="dxa"/>
          </w:tcPr>
          <w:p w14:paraId="4198ADDC" w14:textId="4DCFA3EE" w:rsidR="00BE2BF6" w:rsidRPr="002C16D9" w:rsidRDefault="00D371FD">
            <w:pPr>
              <w:rPr>
                <w:sz w:val="20"/>
                <w:szCs w:val="20"/>
                <w:lang w:val="nl-NL"/>
              </w:rPr>
            </w:pPr>
            <w:r w:rsidRPr="002C16D9">
              <w:rPr>
                <w:sz w:val="20"/>
                <w:szCs w:val="20"/>
                <w:lang w:val="nl-NL"/>
              </w:rPr>
              <w:t xml:space="preserve">In het product wordt onvoldoende verteld over de literaire stroming waar het stuk toe behoort / wordt geen achtergrondinformatie gegeven. </w:t>
            </w:r>
          </w:p>
        </w:tc>
        <w:tc>
          <w:tcPr>
            <w:tcW w:w="3780" w:type="dxa"/>
          </w:tcPr>
          <w:p w14:paraId="1952B554" w14:textId="7078DB6C" w:rsidR="00BE2BF6" w:rsidRPr="002C16D9" w:rsidRDefault="00F32EC3">
            <w:pPr>
              <w:rPr>
                <w:sz w:val="20"/>
                <w:szCs w:val="20"/>
                <w:lang w:val="nl-NL"/>
              </w:rPr>
            </w:pPr>
            <w:r w:rsidRPr="002C16D9">
              <w:rPr>
                <w:sz w:val="20"/>
                <w:szCs w:val="20"/>
                <w:lang w:val="nl-NL"/>
              </w:rPr>
              <w:t xml:space="preserve">In het product wordt verteld over de literaire stroming waar het stuk toe behoort, wordt achtergrond informatie gegeven. </w:t>
            </w:r>
          </w:p>
        </w:tc>
        <w:tc>
          <w:tcPr>
            <w:tcW w:w="3780" w:type="dxa"/>
          </w:tcPr>
          <w:p w14:paraId="15031A48" w14:textId="43155AB7" w:rsidR="00BE2BF6" w:rsidRPr="002C16D9" w:rsidRDefault="00F32EC3">
            <w:pPr>
              <w:rPr>
                <w:sz w:val="20"/>
                <w:szCs w:val="20"/>
                <w:lang w:val="nl-NL"/>
              </w:rPr>
            </w:pPr>
            <w:r w:rsidRPr="002C16D9">
              <w:rPr>
                <w:sz w:val="20"/>
                <w:szCs w:val="20"/>
                <w:lang w:val="nl-NL"/>
              </w:rPr>
              <w:t xml:space="preserve">Niet alleen de literaire stroming en achtergrondinformatie wordt gegeven, maar ook wordt het stuk geanalyseerd aan de hand van literaire begrippen en stijlfiguren. </w:t>
            </w:r>
          </w:p>
        </w:tc>
      </w:tr>
      <w:tr w:rsidR="00BE2BF6" w:rsidRPr="002C16D9" w14:paraId="648C9A8F" w14:textId="77777777" w:rsidTr="00BE2BF6">
        <w:tc>
          <w:tcPr>
            <w:tcW w:w="2379" w:type="dxa"/>
          </w:tcPr>
          <w:p w14:paraId="1DF41600" w14:textId="64676F56" w:rsidR="00BE2BF6" w:rsidRPr="002C16D9" w:rsidRDefault="00BE2BF6">
            <w:pPr>
              <w:rPr>
                <w:b/>
                <w:bCs/>
                <w:sz w:val="20"/>
                <w:szCs w:val="20"/>
              </w:rPr>
            </w:pPr>
            <w:r w:rsidRPr="002C16D9">
              <w:rPr>
                <w:b/>
                <w:bCs/>
                <w:sz w:val="20"/>
                <w:szCs w:val="20"/>
              </w:rPr>
              <w:t>Contexte historique</w:t>
            </w:r>
          </w:p>
        </w:tc>
        <w:tc>
          <w:tcPr>
            <w:tcW w:w="4096" w:type="dxa"/>
          </w:tcPr>
          <w:p w14:paraId="37FCCBED" w14:textId="77543CF6" w:rsidR="00BE2BF6" w:rsidRPr="002C16D9" w:rsidRDefault="00D371FD">
            <w:pPr>
              <w:rPr>
                <w:sz w:val="20"/>
                <w:szCs w:val="20"/>
                <w:lang w:val="nl-NL"/>
              </w:rPr>
            </w:pPr>
            <w:r w:rsidRPr="002C16D9">
              <w:rPr>
                <w:sz w:val="20"/>
                <w:szCs w:val="20"/>
                <w:lang w:val="nl-NL"/>
              </w:rPr>
              <w:t xml:space="preserve">In het product wordt historische context globaal weergegeven / niet geïnterpreteerd / geen verbanden gelegd tussen het stuk en de historische context. </w:t>
            </w:r>
          </w:p>
        </w:tc>
        <w:tc>
          <w:tcPr>
            <w:tcW w:w="3780" w:type="dxa"/>
          </w:tcPr>
          <w:p w14:paraId="78281956" w14:textId="44B3D117" w:rsidR="00BE2BF6" w:rsidRPr="002C16D9" w:rsidRDefault="00F32EC3">
            <w:pPr>
              <w:rPr>
                <w:sz w:val="20"/>
                <w:szCs w:val="20"/>
                <w:lang w:val="nl-NL"/>
              </w:rPr>
            </w:pPr>
            <w:r w:rsidRPr="002C16D9">
              <w:rPr>
                <w:sz w:val="20"/>
                <w:szCs w:val="20"/>
                <w:lang w:val="nl-NL"/>
              </w:rPr>
              <w:t xml:space="preserve">In het product wordt de historische context van dit stuk uitgebreid besproken. Ook is er sprake van interpretatie en worden verbanden gelegd tussen het stuk en de historische context. </w:t>
            </w:r>
          </w:p>
        </w:tc>
        <w:tc>
          <w:tcPr>
            <w:tcW w:w="3780" w:type="dxa"/>
          </w:tcPr>
          <w:p w14:paraId="3560FB11" w14:textId="1C833391" w:rsidR="00BE2BF6" w:rsidRPr="002C16D9" w:rsidRDefault="00F32EC3">
            <w:pPr>
              <w:rPr>
                <w:sz w:val="20"/>
                <w:szCs w:val="20"/>
                <w:lang w:val="nl-NL"/>
              </w:rPr>
            </w:pPr>
            <w:r w:rsidRPr="002C16D9">
              <w:rPr>
                <w:sz w:val="20"/>
                <w:szCs w:val="20"/>
                <w:lang w:val="nl-NL"/>
              </w:rPr>
              <w:t xml:space="preserve">De historische context wordt uitgebreid besproken en interpretatie en verbanden worden onderbouwd met behulp van citaten uit de tekst. </w:t>
            </w:r>
          </w:p>
        </w:tc>
      </w:tr>
      <w:tr w:rsidR="00BE2BF6" w:rsidRPr="002C16D9" w14:paraId="0FAD8B90" w14:textId="77777777" w:rsidTr="00BE2BF6">
        <w:tc>
          <w:tcPr>
            <w:tcW w:w="2379" w:type="dxa"/>
          </w:tcPr>
          <w:p w14:paraId="2D23DAFF" w14:textId="4C8C9852" w:rsidR="00BE2BF6" w:rsidRPr="002C16D9" w:rsidRDefault="00BE2BF6">
            <w:pPr>
              <w:rPr>
                <w:b/>
                <w:bCs/>
                <w:sz w:val="20"/>
                <w:szCs w:val="20"/>
              </w:rPr>
            </w:pPr>
            <w:r w:rsidRPr="002C16D9">
              <w:rPr>
                <w:b/>
                <w:bCs/>
                <w:sz w:val="20"/>
                <w:szCs w:val="20"/>
              </w:rPr>
              <w:t>Expression orale</w:t>
            </w:r>
          </w:p>
        </w:tc>
        <w:tc>
          <w:tcPr>
            <w:tcW w:w="4096" w:type="dxa"/>
          </w:tcPr>
          <w:p w14:paraId="539540DD" w14:textId="3401BDC1" w:rsidR="00BE2BF6" w:rsidRPr="002C16D9" w:rsidRDefault="00F32EC3">
            <w:pPr>
              <w:rPr>
                <w:sz w:val="20"/>
                <w:szCs w:val="20"/>
                <w:lang w:val="nl-NL"/>
              </w:rPr>
            </w:pPr>
            <w:r w:rsidRPr="002C16D9">
              <w:rPr>
                <w:sz w:val="20"/>
                <w:szCs w:val="20"/>
                <w:lang w:val="nl-NL"/>
              </w:rPr>
              <w:t>Het taalniveau voldoet niet aan de eisen van B1+/B2, de tekst is niet uit het hoofd geleerd of de uitspraak belemmert het begrip</w:t>
            </w:r>
            <w:r w:rsidR="00033E60" w:rsidRPr="002C16D9">
              <w:rPr>
                <w:sz w:val="20"/>
                <w:szCs w:val="20"/>
                <w:lang w:val="nl-NL"/>
              </w:rPr>
              <w:t xml:space="preserve"> meer dan eens</w:t>
            </w:r>
            <w:r w:rsidRPr="002C16D9">
              <w:rPr>
                <w:sz w:val="20"/>
                <w:szCs w:val="20"/>
                <w:lang w:val="nl-NL"/>
              </w:rPr>
              <w:t>.</w:t>
            </w:r>
          </w:p>
        </w:tc>
        <w:tc>
          <w:tcPr>
            <w:tcW w:w="3780" w:type="dxa"/>
          </w:tcPr>
          <w:p w14:paraId="1FE646C6" w14:textId="7E1DB82C" w:rsidR="00BE2BF6" w:rsidRPr="002C16D9" w:rsidRDefault="00BE2BF6">
            <w:pPr>
              <w:rPr>
                <w:sz w:val="20"/>
                <w:szCs w:val="20"/>
                <w:lang w:val="nl-NL"/>
              </w:rPr>
            </w:pPr>
            <w:r w:rsidRPr="002C16D9">
              <w:rPr>
                <w:sz w:val="20"/>
                <w:szCs w:val="20"/>
                <w:lang w:val="nl-NL"/>
              </w:rPr>
              <w:t xml:space="preserve">Het taalniveau is voldoet aan de eisen van B1+/B2. Zinnen zijn over het algemeen correct opgebouwd en grammaticale constructies belemmeren nooit het begrip. Hoewel in de uitspraak nog incidentele fouten zitten, belemmeren deze nooit het begrip. </w:t>
            </w:r>
          </w:p>
        </w:tc>
        <w:tc>
          <w:tcPr>
            <w:tcW w:w="3780" w:type="dxa"/>
          </w:tcPr>
          <w:p w14:paraId="6035EC0D" w14:textId="744FEE64" w:rsidR="00BE2BF6" w:rsidRPr="002C16D9" w:rsidRDefault="00F32EC3">
            <w:pPr>
              <w:rPr>
                <w:sz w:val="20"/>
                <w:szCs w:val="20"/>
              </w:rPr>
            </w:pPr>
            <w:r w:rsidRPr="002C16D9">
              <w:rPr>
                <w:sz w:val="20"/>
                <w:szCs w:val="20"/>
                <w:lang w:val="nl-NL"/>
              </w:rPr>
              <w:t xml:space="preserve">Het taalniveau is ten minste B2. Complexe structuren zijn oppervlakkig en kennen fouten. In de mening kan nuance worden aangebracht door tegenargumenten te geven. </w:t>
            </w:r>
            <w:proofErr w:type="spellStart"/>
            <w:r w:rsidR="00D371FD" w:rsidRPr="002C16D9">
              <w:rPr>
                <w:sz w:val="20"/>
                <w:szCs w:val="20"/>
              </w:rPr>
              <w:t>Uitspraakfouten</w:t>
            </w:r>
            <w:proofErr w:type="spellEnd"/>
            <w:r w:rsidR="00D371FD" w:rsidRPr="002C16D9">
              <w:rPr>
                <w:sz w:val="20"/>
                <w:szCs w:val="20"/>
              </w:rPr>
              <w:t xml:space="preserve"> </w:t>
            </w:r>
            <w:proofErr w:type="spellStart"/>
            <w:r w:rsidR="00D371FD" w:rsidRPr="002C16D9">
              <w:rPr>
                <w:sz w:val="20"/>
                <w:szCs w:val="20"/>
              </w:rPr>
              <w:t>zijn</w:t>
            </w:r>
            <w:proofErr w:type="spellEnd"/>
            <w:r w:rsidR="00D371FD" w:rsidRPr="002C16D9">
              <w:rPr>
                <w:sz w:val="20"/>
                <w:szCs w:val="20"/>
              </w:rPr>
              <w:t xml:space="preserve"> </w:t>
            </w:r>
            <w:proofErr w:type="spellStart"/>
            <w:r w:rsidR="00D371FD" w:rsidRPr="002C16D9">
              <w:rPr>
                <w:sz w:val="20"/>
                <w:szCs w:val="20"/>
              </w:rPr>
              <w:t>consequent</w:t>
            </w:r>
            <w:proofErr w:type="spellEnd"/>
            <w:r w:rsidR="00D371FD" w:rsidRPr="002C16D9">
              <w:rPr>
                <w:sz w:val="20"/>
                <w:szCs w:val="20"/>
              </w:rPr>
              <w:t xml:space="preserve"> en </w:t>
            </w:r>
            <w:proofErr w:type="spellStart"/>
            <w:r w:rsidR="00D371FD" w:rsidRPr="002C16D9">
              <w:rPr>
                <w:sz w:val="20"/>
                <w:szCs w:val="20"/>
              </w:rPr>
              <w:t>belemmeren</w:t>
            </w:r>
            <w:proofErr w:type="spellEnd"/>
            <w:r w:rsidR="00D371FD" w:rsidRPr="002C16D9">
              <w:rPr>
                <w:sz w:val="20"/>
                <w:szCs w:val="20"/>
              </w:rPr>
              <w:t xml:space="preserve"> het </w:t>
            </w:r>
            <w:proofErr w:type="spellStart"/>
            <w:r w:rsidR="00D371FD" w:rsidRPr="002C16D9">
              <w:rPr>
                <w:sz w:val="20"/>
                <w:szCs w:val="20"/>
              </w:rPr>
              <w:t>begrip</w:t>
            </w:r>
            <w:proofErr w:type="spellEnd"/>
            <w:r w:rsidR="00D371FD" w:rsidRPr="002C16D9">
              <w:rPr>
                <w:sz w:val="20"/>
                <w:szCs w:val="20"/>
              </w:rPr>
              <w:t xml:space="preserve"> niet. </w:t>
            </w:r>
          </w:p>
        </w:tc>
      </w:tr>
    </w:tbl>
    <w:p w14:paraId="51F87F33" w14:textId="77777777" w:rsidR="00BE2BF6" w:rsidRDefault="00BE2BF6" w:rsidP="002C16D9"/>
    <w:sectPr w:rsidR="00BE2BF6" w:rsidSect="00BE2BF6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81943C" w14:textId="77777777" w:rsidR="00BE2BF6" w:rsidRDefault="00BE2BF6" w:rsidP="00BE2BF6">
      <w:r>
        <w:separator/>
      </w:r>
    </w:p>
  </w:endnote>
  <w:endnote w:type="continuationSeparator" w:id="0">
    <w:p w14:paraId="5176421D" w14:textId="77777777" w:rsidR="00BE2BF6" w:rsidRDefault="00BE2BF6" w:rsidP="00BE2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49FDB0" w14:textId="0ED9EFEE" w:rsidR="00BE2BF6" w:rsidRDefault="00BE2BF6">
    <w:pPr>
      <w:pStyle w:val="Voettekst"/>
    </w:pPr>
    <w:proofErr w:type="spellStart"/>
    <w:r>
      <w:t>Literatuuronderwijs</w:t>
    </w:r>
    <w:proofErr w:type="spellEnd"/>
    <w:r>
      <w:ptab w:relativeTo="margin" w:alignment="center" w:leader="none"/>
    </w:r>
    <w:r>
      <w:ptab w:relativeTo="margin" w:alignment="right" w:leader="none"/>
    </w:r>
    <w:r>
      <w:rPr>
        <w:rFonts w:ascii="Aptos" w:hAnsi="Aptos"/>
      </w:rPr>
      <w:t>©</w:t>
    </w:r>
    <w:r>
      <w:t xml:space="preserve"> L’Horizon Frans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689102" w14:textId="77777777" w:rsidR="00BE2BF6" w:rsidRDefault="00BE2BF6" w:rsidP="00BE2BF6">
      <w:r>
        <w:separator/>
      </w:r>
    </w:p>
  </w:footnote>
  <w:footnote w:type="continuationSeparator" w:id="0">
    <w:p w14:paraId="5E966A5A" w14:textId="77777777" w:rsidR="00BE2BF6" w:rsidRDefault="00BE2BF6" w:rsidP="00BE2B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D438CB"/>
    <w:multiLevelType w:val="hybridMultilevel"/>
    <w:tmpl w:val="1D8CC848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18909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BF6"/>
    <w:rsid w:val="00033E60"/>
    <w:rsid w:val="00067632"/>
    <w:rsid w:val="00181349"/>
    <w:rsid w:val="002056B7"/>
    <w:rsid w:val="00292049"/>
    <w:rsid w:val="002C16D9"/>
    <w:rsid w:val="00321EE6"/>
    <w:rsid w:val="005D7554"/>
    <w:rsid w:val="00602BB7"/>
    <w:rsid w:val="00974717"/>
    <w:rsid w:val="00A2303D"/>
    <w:rsid w:val="00BE2BF6"/>
    <w:rsid w:val="00CC78A6"/>
    <w:rsid w:val="00D371FD"/>
    <w:rsid w:val="00F32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EC678"/>
  <w15:chartTrackingRefBased/>
  <w15:docId w15:val="{F2A87B33-54E2-3440-9C9E-4A4D8C418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lang w:val="fr-FR"/>
    </w:rPr>
  </w:style>
  <w:style w:type="paragraph" w:styleId="Kop1">
    <w:name w:val="heading 1"/>
    <w:basedOn w:val="Standaard"/>
    <w:next w:val="Standaard"/>
    <w:link w:val="Kop1Char"/>
    <w:uiPriority w:val="9"/>
    <w:qFormat/>
    <w:rsid w:val="00BE2B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BE2B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BE2B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BE2B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BE2B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BE2BF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BE2BF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BE2BF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BE2BF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BE2BF6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fr-FR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BE2BF6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fr-FR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BE2BF6"/>
    <w:rPr>
      <w:rFonts w:eastAsiaTheme="majorEastAsia" w:cstheme="majorBidi"/>
      <w:color w:val="0F4761" w:themeColor="accent1" w:themeShade="BF"/>
      <w:sz w:val="28"/>
      <w:szCs w:val="28"/>
      <w:lang w:val="fr-FR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BE2BF6"/>
    <w:rPr>
      <w:rFonts w:eastAsiaTheme="majorEastAsia" w:cstheme="majorBidi"/>
      <w:i/>
      <w:iCs/>
      <w:color w:val="0F4761" w:themeColor="accent1" w:themeShade="BF"/>
      <w:lang w:val="fr-FR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BE2BF6"/>
    <w:rPr>
      <w:rFonts w:eastAsiaTheme="majorEastAsia" w:cstheme="majorBidi"/>
      <w:color w:val="0F4761" w:themeColor="accent1" w:themeShade="BF"/>
      <w:lang w:val="fr-FR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BE2BF6"/>
    <w:rPr>
      <w:rFonts w:eastAsiaTheme="majorEastAsia" w:cstheme="majorBidi"/>
      <w:i/>
      <w:iCs/>
      <w:color w:val="595959" w:themeColor="text1" w:themeTint="A6"/>
      <w:lang w:val="fr-FR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BE2BF6"/>
    <w:rPr>
      <w:rFonts w:eastAsiaTheme="majorEastAsia" w:cstheme="majorBidi"/>
      <w:color w:val="595959" w:themeColor="text1" w:themeTint="A6"/>
      <w:lang w:val="fr-FR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BE2BF6"/>
    <w:rPr>
      <w:rFonts w:eastAsiaTheme="majorEastAsia" w:cstheme="majorBidi"/>
      <w:i/>
      <w:iCs/>
      <w:color w:val="272727" w:themeColor="text1" w:themeTint="D8"/>
      <w:lang w:val="fr-FR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BE2BF6"/>
    <w:rPr>
      <w:rFonts w:eastAsiaTheme="majorEastAsia" w:cstheme="majorBidi"/>
      <w:color w:val="272727" w:themeColor="text1" w:themeTint="D8"/>
      <w:lang w:val="fr-FR"/>
    </w:rPr>
  </w:style>
  <w:style w:type="paragraph" w:styleId="Titel">
    <w:name w:val="Title"/>
    <w:basedOn w:val="Standaard"/>
    <w:next w:val="Standaard"/>
    <w:link w:val="TitelChar"/>
    <w:uiPriority w:val="10"/>
    <w:qFormat/>
    <w:rsid w:val="00BE2BF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BE2BF6"/>
    <w:rPr>
      <w:rFonts w:asciiTheme="majorHAnsi" w:eastAsiaTheme="majorEastAsia" w:hAnsiTheme="majorHAnsi" w:cstheme="majorBidi"/>
      <w:spacing w:val="-10"/>
      <w:kern w:val="28"/>
      <w:sz w:val="56"/>
      <w:szCs w:val="56"/>
      <w:lang w:val="fr-FR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BE2BF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BE2BF6"/>
    <w:rPr>
      <w:rFonts w:eastAsiaTheme="majorEastAsia" w:cstheme="majorBidi"/>
      <w:color w:val="595959" w:themeColor="text1" w:themeTint="A6"/>
      <w:spacing w:val="15"/>
      <w:sz w:val="28"/>
      <w:szCs w:val="28"/>
      <w:lang w:val="fr-FR"/>
    </w:rPr>
  </w:style>
  <w:style w:type="paragraph" w:styleId="Citaat">
    <w:name w:val="Quote"/>
    <w:basedOn w:val="Standaard"/>
    <w:next w:val="Standaard"/>
    <w:link w:val="CitaatChar"/>
    <w:uiPriority w:val="29"/>
    <w:qFormat/>
    <w:rsid w:val="00BE2BF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BE2BF6"/>
    <w:rPr>
      <w:i/>
      <w:iCs/>
      <w:color w:val="404040" w:themeColor="text1" w:themeTint="BF"/>
      <w:lang w:val="fr-FR"/>
    </w:rPr>
  </w:style>
  <w:style w:type="paragraph" w:styleId="Lijstalinea">
    <w:name w:val="List Paragraph"/>
    <w:basedOn w:val="Standaard"/>
    <w:uiPriority w:val="34"/>
    <w:qFormat/>
    <w:rsid w:val="00BE2BF6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BE2BF6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BE2B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BE2BF6"/>
    <w:rPr>
      <w:i/>
      <w:iCs/>
      <w:color w:val="0F4761" w:themeColor="accent1" w:themeShade="BF"/>
      <w:lang w:val="fr-FR"/>
    </w:rPr>
  </w:style>
  <w:style w:type="character" w:styleId="Intensieveverwijzing">
    <w:name w:val="Intense Reference"/>
    <w:basedOn w:val="Standaardalinea-lettertype"/>
    <w:uiPriority w:val="32"/>
    <w:qFormat/>
    <w:rsid w:val="00BE2BF6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BE2BF6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BE2BF6"/>
    <w:rPr>
      <w:lang w:val="fr-FR"/>
    </w:rPr>
  </w:style>
  <w:style w:type="paragraph" w:styleId="Voettekst">
    <w:name w:val="footer"/>
    <w:basedOn w:val="Standaard"/>
    <w:link w:val="VoettekstChar"/>
    <w:uiPriority w:val="99"/>
    <w:unhideWhenUsed/>
    <w:rsid w:val="00BE2BF6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BE2BF6"/>
    <w:rPr>
      <w:lang w:val="fr-FR"/>
    </w:rPr>
  </w:style>
  <w:style w:type="table" w:styleId="Tabelraster">
    <w:name w:val="Table Grid"/>
    <w:basedOn w:val="Standaardtabel"/>
    <w:uiPriority w:val="39"/>
    <w:rsid w:val="00BE2B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347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Bastijn Oostra</dc:creator>
  <cp:keywords/>
  <dc:description/>
  <cp:lastModifiedBy>Bastijn Oostra</cp:lastModifiedBy>
  <cp:revision>7</cp:revision>
  <dcterms:created xsi:type="dcterms:W3CDTF">2024-08-27T09:27:00Z</dcterms:created>
  <dcterms:modified xsi:type="dcterms:W3CDTF">2024-12-10T11:04:00Z</dcterms:modified>
</cp:coreProperties>
</file>